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6" w:rsidRPr="00CD2696" w:rsidRDefault="007373C6" w:rsidP="000F2A4B">
      <w:pPr>
        <w:pStyle w:val="ConsPlusTitle"/>
        <w:ind w:right="453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F07E5B" w:rsidTr="00F07E5B">
        <w:tc>
          <w:tcPr>
            <w:tcW w:w="7763" w:type="dxa"/>
            <w:gridSpan w:val="4"/>
            <w:hideMark/>
          </w:tcPr>
          <w:p w:rsidR="00F07E5B" w:rsidRPr="00F07E5B" w:rsidRDefault="00F07E5B">
            <w:pPr>
              <w:jc w:val="right"/>
              <w:rPr>
                <w:b/>
                <w:sz w:val="24"/>
                <w:szCs w:val="24"/>
              </w:rPr>
            </w:pPr>
            <w:r w:rsidRPr="00F07E5B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  <w:r w:rsidRPr="00F07E5B">
              <w:rPr>
                <w:sz w:val="24"/>
                <w:szCs w:val="24"/>
              </w:rPr>
              <w:t>ПРОЕКТ</w:t>
            </w:r>
          </w:p>
        </w:tc>
      </w:tr>
      <w:tr w:rsidR="00F07E5B" w:rsidTr="00F07E5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5B" w:rsidRPr="00F07E5B" w:rsidRDefault="00F07E5B">
            <w:pPr>
              <w:rPr>
                <w:b/>
                <w:sz w:val="24"/>
                <w:szCs w:val="24"/>
              </w:rPr>
            </w:pPr>
            <w:r w:rsidRPr="00F07E5B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07E5B" w:rsidRPr="00F07E5B" w:rsidRDefault="00F07E5B">
            <w:pPr>
              <w:rPr>
                <w:sz w:val="24"/>
                <w:szCs w:val="24"/>
              </w:rPr>
            </w:pPr>
          </w:p>
          <w:p w:rsidR="00F07E5B" w:rsidRPr="00F07E5B" w:rsidRDefault="00F07E5B">
            <w:pPr>
              <w:jc w:val="right"/>
              <w:rPr>
                <w:sz w:val="24"/>
                <w:szCs w:val="24"/>
              </w:rPr>
            </w:pPr>
            <w:r w:rsidRPr="00F07E5B">
              <w:rPr>
                <w:sz w:val="24"/>
                <w:szCs w:val="24"/>
              </w:rPr>
              <w:t xml:space="preserve">А.Г. </w:t>
            </w:r>
            <w:proofErr w:type="spellStart"/>
            <w:r w:rsidRPr="00F07E5B">
              <w:rPr>
                <w:sz w:val="24"/>
                <w:szCs w:val="24"/>
              </w:rPr>
              <w:t>Вязовский</w:t>
            </w:r>
            <w:proofErr w:type="spellEnd"/>
            <w:r w:rsidRPr="00F07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  <w:r w:rsidRPr="00F07E5B">
              <w:rPr>
                <w:sz w:val="24"/>
                <w:szCs w:val="24"/>
              </w:rPr>
              <w:t>ВНЕСЕН:</w:t>
            </w:r>
          </w:p>
        </w:tc>
      </w:tr>
      <w:tr w:rsidR="00F07E5B" w:rsidTr="00F07E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F07E5B" w:rsidRPr="00F07E5B" w:rsidRDefault="00F07E5B">
            <w:pPr>
              <w:rPr>
                <w:b/>
                <w:sz w:val="24"/>
                <w:szCs w:val="24"/>
              </w:rPr>
            </w:pPr>
            <w:r w:rsidRPr="00F07E5B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F07E5B" w:rsidRPr="00F07E5B" w:rsidRDefault="00F07E5B">
            <w:pPr>
              <w:jc w:val="center"/>
              <w:rPr>
                <w:b/>
                <w:sz w:val="24"/>
                <w:szCs w:val="24"/>
              </w:rPr>
            </w:pPr>
          </w:p>
          <w:p w:rsidR="00F07E5B" w:rsidRPr="00F07E5B" w:rsidRDefault="00F07E5B">
            <w:pPr>
              <w:jc w:val="right"/>
              <w:rPr>
                <w:sz w:val="24"/>
                <w:szCs w:val="24"/>
              </w:rPr>
            </w:pPr>
            <w:r w:rsidRPr="00F07E5B">
              <w:rPr>
                <w:sz w:val="24"/>
                <w:szCs w:val="24"/>
              </w:rPr>
              <w:t>Е.С.Степаненко</w:t>
            </w:r>
          </w:p>
        </w:tc>
      </w:tr>
      <w:tr w:rsidR="00F07E5B" w:rsidTr="00F07E5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7E5B" w:rsidRPr="00F07E5B" w:rsidRDefault="00F07E5B">
            <w:pPr>
              <w:jc w:val="center"/>
              <w:rPr>
                <w:b/>
                <w:sz w:val="24"/>
                <w:szCs w:val="24"/>
              </w:rPr>
            </w:pPr>
            <w:r w:rsidRPr="00F07E5B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F07E5B" w:rsidRPr="00F07E5B" w:rsidRDefault="00F07E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7E5B" w:rsidTr="00F07E5B">
        <w:tc>
          <w:tcPr>
            <w:tcW w:w="4935" w:type="dxa"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07E5B" w:rsidRPr="00F07E5B" w:rsidRDefault="00F07E5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F07E5B" w:rsidRPr="00F07E5B" w:rsidRDefault="00F07E5B">
            <w:pPr>
              <w:rPr>
                <w:b/>
                <w:sz w:val="24"/>
                <w:szCs w:val="24"/>
              </w:rPr>
            </w:pPr>
            <w:r w:rsidRPr="00F07E5B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F07E5B" w:rsidTr="00F07E5B">
        <w:tc>
          <w:tcPr>
            <w:tcW w:w="9889" w:type="dxa"/>
            <w:gridSpan w:val="5"/>
          </w:tcPr>
          <w:p w:rsidR="00F07E5B" w:rsidRPr="00F07E5B" w:rsidRDefault="00F07E5B">
            <w:pPr>
              <w:rPr>
                <w:sz w:val="24"/>
                <w:szCs w:val="24"/>
              </w:rPr>
            </w:pPr>
          </w:p>
        </w:tc>
      </w:tr>
      <w:tr w:rsidR="00F07E5B" w:rsidTr="00F07E5B">
        <w:tc>
          <w:tcPr>
            <w:tcW w:w="9889" w:type="dxa"/>
            <w:gridSpan w:val="5"/>
            <w:hideMark/>
          </w:tcPr>
          <w:p w:rsidR="00F07E5B" w:rsidRPr="00F07E5B" w:rsidRDefault="00F07E5B">
            <w:pPr>
              <w:jc w:val="center"/>
              <w:rPr>
                <w:sz w:val="24"/>
                <w:szCs w:val="24"/>
              </w:rPr>
            </w:pPr>
            <w:r w:rsidRPr="00F07E5B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7"/>
        <w:tblW w:w="5495" w:type="dxa"/>
        <w:tblLook w:val="00A0"/>
      </w:tblPr>
      <w:tblGrid>
        <w:gridCol w:w="5495"/>
      </w:tblGrid>
      <w:tr w:rsidR="00557BCC" w:rsidRPr="00CD2696" w:rsidTr="00557BCC">
        <w:tc>
          <w:tcPr>
            <w:tcW w:w="5495" w:type="dxa"/>
          </w:tcPr>
          <w:p w:rsidR="00557BCC" w:rsidRPr="00CD2696" w:rsidRDefault="00557BCC" w:rsidP="00DC2377">
            <w:pPr>
              <w:pStyle w:val="ConsPlusTitle"/>
              <w:ind w:right="165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CD2696">
              <w:rPr>
                <w:sz w:val="24"/>
                <w:szCs w:val="24"/>
              </w:rPr>
              <w:t>О результатах публичных слушаний  по проекту решения Совета депутатов муниципального округа Левобережный «Об исполнении бюджета муниципального округа Левобережный за 201</w:t>
            </w:r>
            <w:r w:rsidR="00DC2377">
              <w:rPr>
                <w:sz w:val="24"/>
                <w:szCs w:val="24"/>
              </w:rPr>
              <w:t>5</w:t>
            </w:r>
            <w:r w:rsidRPr="00CD2696">
              <w:rPr>
                <w:sz w:val="24"/>
                <w:szCs w:val="24"/>
              </w:rPr>
              <w:t xml:space="preserve"> год</w:t>
            </w:r>
          </w:p>
        </w:tc>
      </w:tr>
    </w:tbl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557BCC" w:rsidRPr="00CD2696" w:rsidRDefault="00557BCC" w:rsidP="000F2A4B">
      <w:pPr>
        <w:adjustRightInd w:val="0"/>
        <w:ind w:firstLine="720"/>
        <w:jc w:val="both"/>
        <w:rPr>
          <w:sz w:val="24"/>
          <w:szCs w:val="24"/>
        </w:rPr>
      </w:pPr>
    </w:p>
    <w:p w:rsidR="00CD2696" w:rsidRDefault="00CD2696" w:rsidP="000F2A4B">
      <w:pPr>
        <w:adjustRightInd w:val="0"/>
        <w:ind w:firstLine="720"/>
        <w:jc w:val="both"/>
        <w:rPr>
          <w:sz w:val="24"/>
          <w:szCs w:val="24"/>
        </w:rPr>
      </w:pPr>
    </w:p>
    <w:p w:rsidR="00CD2696" w:rsidRDefault="00CD2696" w:rsidP="000F2A4B">
      <w:pPr>
        <w:adjustRightInd w:val="0"/>
        <w:ind w:firstLine="720"/>
        <w:jc w:val="both"/>
        <w:rPr>
          <w:sz w:val="24"/>
          <w:szCs w:val="24"/>
        </w:rPr>
      </w:pPr>
    </w:p>
    <w:p w:rsidR="004871AB" w:rsidRDefault="008317EE" w:rsidP="00DC2377">
      <w:pPr>
        <w:adjustRightInd w:val="0"/>
        <w:ind w:firstLine="720"/>
        <w:jc w:val="both"/>
        <w:rPr>
          <w:sz w:val="24"/>
          <w:szCs w:val="24"/>
        </w:rPr>
      </w:pPr>
      <w:r w:rsidRPr="00CD2696">
        <w:rPr>
          <w:sz w:val="24"/>
          <w:szCs w:val="24"/>
        </w:rPr>
        <w:t xml:space="preserve">В соответствии с решением </w:t>
      </w:r>
      <w:r w:rsidR="00D02F2A" w:rsidRPr="00CD2696">
        <w:rPr>
          <w:sz w:val="24"/>
          <w:szCs w:val="24"/>
        </w:rPr>
        <w:t>Совета депутатов</w:t>
      </w:r>
      <w:r w:rsidRPr="00CD2696">
        <w:rPr>
          <w:sz w:val="24"/>
          <w:szCs w:val="24"/>
        </w:rPr>
        <w:t xml:space="preserve"> от </w:t>
      </w:r>
      <w:r w:rsidR="00DC2377">
        <w:rPr>
          <w:sz w:val="24"/>
          <w:szCs w:val="24"/>
        </w:rPr>
        <w:t>23 июня</w:t>
      </w:r>
      <w:r w:rsidRPr="00CD2696">
        <w:rPr>
          <w:sz w:val="24"/>
          <w:szCs w:val="24"/>
        </w:rPr>
        <w:t xml:space="preserve"> 201</w:t>
      </w:r>
      <w:r w:rsidR="00DC2377">
        <w:rPr>
          <w:sz w:val="24"/>
          <w:szCs w:val="24"/>
        </w:rPr>
        <w:t>5</w:t>
      </w:r>
      <w:r w:rsidRPr="00CD2696">
        <w:rPr>
          <w:sz w:val="24"/>
          <w:szCs w:val="24"/>
        </w:rPr>
        <w:t xml:space="preserve"> года № </w:t>
      </w:r>
      <w:r w:rsidR="00DC2377">
        <w:rPr>
          <w:sz w:val="24"/>
          <w:szCs w:val="24"/>
        </w:rPr>
        <w:t>8-7</w:t>
      </w:r>
      <w:r w:rsidRPr="00CD2696">
        <w:rPr>
          <w:sz w:val="24"/>
          <w:szCs w:val="24"/>
        </w:rPr>
        <w:t xml:space="preserve"> «</w:t>
      </w:r>
      <w:r w:rsidR="00DC2377" w:rsidRPr="00DC2377">
        <w:rPr>
          <w:sz w:val="24"/>
          <w:szCs w:val="24"/>
        </w:rPr>
        <w:t>О порядке организации и прове</w:t>
      </w:r>
      <w:r w:rsidR="00DC2377">
        <w:rPr>
          <w:sz w:val="24"/>
          <w:szCs w:val="24"/>
        </w:rPr>
        <w:t>дения публичных слушаний в муни</w:t>
      </w:r>
      <w:r w:rsidR="00DC2377" w:rsidRPr="00DC2377">
        <w:rPr>
          <w:sz w:val="24"/>
          <w:szCs w:val="24"/>
        </w:rPr>
        <w:t>ципальном округе Левобережный</w:t>
      </w:r>
      <w:r w:rsidRPr="00CD2696">
        <w:rPr>
          <w:sz w:val="24"/>
          <w:szCs w:val="24"/>
        </w:rPr>
        <w:t xml:space="preserve">» и решением Совета депутатов </w:t>
      </w:r>
      <w:r w:rsidR="00DC2377" w:rsidRPr="00DC2377">
        <w:rPr>
          <w:sz w:val="24"/>
          <w:szCs w:val="24"/>
        </w:rPr>
        <w:t>от 19 апреля 2016г. № 6-2 «О проекте решения «Об исполнении бюджета муниципального округа Левобережный за 2015 год»</w:t>
      </w:r>
    </w:p>
    <w:p w:rsidR="00DC2377" w:rsidRPr="00CD2696" w:rsidRDefault="00DC2377" w:rsidP="00DC2377">
      <w:pPr>
        <w:adjustRightInd w:val="0"/>
        <w:ind w:firstLine="720"/>
        <w:jc w:val="both"/>
        <w:rPr>
          <w:sz w:val="24"/>
          <w:szCs w:val="24"/>
        </w:rPr>
      </w:pPr>
    </w:p>
    <w:p w:rsidR="004871AB" w:rsidRDefault="00BC6467" w:rsidP="000F2A4B">
      <w:pPr>
        <w:adjustRightInd w:val="0"/>
        <w:ind w:firstLine="540"/>
        <w:jc w:val="center"/>
        <w:rPr>
          <w:b/>
          <w:sz w:val="24"/>
          <w:szCs w:val="24"/>
        </w:rPr>
      </w:pPr>
      <w:r w:rsidRPr="00CD2696">
        <w:rPr>
          <w:sz w:val="24"/>
          <w:szCs w:val="24"/>
        </w:rPr>
        <w:t xml:space="preserve"> </w:t>
      </w:r>
      <w:r w:rsidR="004871AB" w:rsidRPr="00CD2696">
        <w:rPr>
          <w:b/>
          <w:sz w:val="24"/>
          <w:szCs w:val="24"/>
        </w:rPr>
        <w:t>Совет депутатов решил:</w:t>
      </w:r>
    </w:p>
    <w:p w:rsidR="00CD2696" w:rsidRPr="00CD2696" w:rsidRDefault="00CD2696" w:rsidP="000F2A4B">
      <w:pPr>
        <w:adjustRightInd w:val="0"/>
        <w:ind w:firstLine="540"/>
        <w:jc w:val="center"/>
        <w:rPr>
          <w:b/>
          <w:sz w:val="24"/>
          <w:szCs w:val="24"/>
        </w:rPr>
      </w:pPr>
    </w:p>
    <w:p w:rsidR="008317EE" w:rsidRPr="00CD2696" w:rsidRDefault="008317EE" w:rsidP="000F2A4B">
      <w:pPr>
        <w:ind w:right="170" w:firstLine="360"/>
        <w:jc w:val="both"/>
        <w:rPr>
          <w:sz w:val="24"/>
          <w:szCs w:val="24"/>
        </w:rPr>
      </w:pPr>
      <w:r w:rsidRPr="00CD2696">
        <w:rPr>
          <w:sz w:val="24"/>
          <w:szCs w:val="24"/>
        </w:rPr>
        <w:t>1. Утвердить результаты публичных слушаний по проекту решения Совета депутатов муниципального округа Левобережный «</w:t>
      </w:r>
      <w:r w:rsidR="00D02F2A" w:rsidRPr="00CD2696">
        <w:rPr>
          <w:sz w:val="24"/>
          <w:szCs w:val="24"/>
        </w:rPr>
        <w:t>Об исполнении бюджета муниципального округа Левобережный за 201</w:t>
      </w:r>
      <w:r w:rsidR="00DC2377">
        <w:rPr>
          <w:sz w:val="24"/>
          <w:szCs w:val="24"/>
        </w:rPr>
        <w:t xml:space="preserve">5 </w:t>
      </w:r>
      <w:r w:rsidR="00D02F2A" w:rsidRPr="00CD2696">
        <w:rPr>
          <w:sz w:val="24"/>
          <w:szCs w:val="24"/>
        </w:rPr>
        <w:t>год</w:t>
      </w:r>
      <w:r w:rsidRPr="00CD2696">
        <w:rPr>
          <w:sz w:val="24"/>
          <w:szCs w:val="24"/>
        </w:rPr>
        <w:t xml:space="preserve">» (Протокол </w:t>
      </w:r>
      <w:r w:rsidR="00DC2377" w:rsidRPr="00DC2377">
        <w:rPr>
          <w:sz w:val="24"/>
          <w:szCs w:val="24"/>
        </w:rPr>
        <w:t>23 мая 2016 года</w:t>
      </w:r>
      <w:r w:rsidRPr="00CD2696">
        <w:rPr>
          <w:sz w:val="24"/>
          <w:szCs w:val="24"/>
        </w:rPr>
        <w:t>), представленные рабочей группой по организации и проведению публичных слушаний</w:t>
      </w:r>
      <w:r w:rsidR="00A9701E" w:rsidRPr="00CD2696">
        <w:rPr>
          <w:sz w:val="24"/>
          <w:szCs w:val="24"/>
        </w:rPr>
        <w:t xml:space="preserve"> (Приложение)</w:t>
      </w:r>
      <w:r w:rsidRPr="00CD2696">
        <w:rPr>
          <w:sz w:val="24"/>
          <w:szCs w:val="24"/>
        </w:rPr>
        <w:t>.</w:t>
      </w:r>
    </w:p>
    <w:p w:rsidR="006625DD" w:rsidRPr="00CD2696" w:rsidRDefault="008317EE" w:rsidP="000F2A4B">
      <w:pPr>
        <w:ind w:right="170" w:firstLine="360"/>
        <w:jc w:val="both"/>
        <w:rPr>
          <w:sz w:val="24"/>
          <w:szCs w:val="24"/>
        </w:rPr>
      </w:pPr>
      <w:r w:rsidRPr="00CD2696">
        <w:rPr>
          <w:sz w:val="24"/>
          <w:szCs w:val="24"/>
        </w:rPr>
        <w:t>2</w:t>
      </w:r>
      <w:r w:rsidR="006625DD" w:rsidRPr="00CD2696">
        <w:rPr>
          <w:sz w:val="24"/>
          <w:szCs w:val="24"/>
        </w:rPr>
        <w:t xml:space="preserve"> Опубликовать настоящее решение в бюллетене «Московский муниципальный     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8317EE" w:rsidRPr="00CD2696" w:rsidRDefault="008317EE" w:rsidP="000F2A4B">
      <w:pPr>
        <w:ind w:right="170" w:firstLine="360"/>
        <w:jc w:val="both"/>
        <w:rPr>
          <w:sz w:val="24"/>
          <w:szCs w:val="24"/>
        </w:rPr>
      </w:pPr>
      <w:r w:rsidRPr="00CD2696">
        <w:rPr>
          <w:sz w:val="24"/>
          <w:szCs w:val="24"/>
        </w:rPr>
        <w:t>3.   Настоящее решение вступает в силу со дня принятия.</w:t>
      </w:r>
    </w:p>
    <w:p w:rsidR="00184307" w:rsidRPr="00CD2696" w:rsidRDefault="008317EE" w:rsidP="000F2A4B">
      <w:pPr>
        <w:ind w:right="170" w:firstLine="360"/>
        <w:jc w:val="both"/>
        <w:rPr>
          <w:sz w:val="24"/>
          <w:szCs w:val="24"/>
        </w:rPr>
      </w:pPr>
      <w:r w:rsidRPr="00CD2696">
        <w:rPr>
          <w:sz w:val="24"/>
          <w:szCs w:val="24"/>
        </w:rPr>
        <w:t xml:space="preserve">4. Контроль за исполнением настоящего решения возложить на главу муниципального округа Левобережный </w:t>
      </w:r>
      <w:r w:rsidR="00DC2377">
        <w:rPr>
          <w:sz w:val="24"/>
          <w:szCs w:val="24"/>
        </w:rPr>
        <w:t>Степаненко Е.С.</w:t>
      </w:r>
    </w:p>
    <w:p w:rsidR="00635F51" w:rsidRDefault="00635F51" w:rsidP="00635F51">
      <w:pPr>
        <w:ind w:firstLine="567"/>
        <w:jc w:val="both"/>
        <w:rPr>
          <w:sz w:val="24"/>
          <w:szCs w:val="24"/>
        </w:rPr>
      </w:pPr>
    </w:p>
    <w:p w:rsidR="00CD2696" w:rsidRDefault="00CD2696" w:rsidP="00635F51">
      <w:pPr>
        <w:ind w:firstLine="567"/>
        <w:jc w:val="both"/>
        <w:rPr>
          <w:sz w:val="24"/>
          <w:szCs w:val="24"/>
        </w:rPr>
      </w:pPr>
    </w:p>
    <w:p w:rsidR="00CD2696" w:rsidRDefault="00CD2696" w:rsidP="00635F51">
      <w:pPr>
        <w:ind w:firstLine="567"/>
        <w:jc w:val="both"/>
        <w:rPr>
          <w:sz w:val="24"/>
          <w:szCs w:val="24"/>
        </w:rPr>
      </w:pPr>
    </w:p>
    <w:p w:rsidR="00CD2696" w:rsidRPr="00CD2696" w:rsidRDefault="00CD2696" w:rsidP="00635F51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F07E5B" w:rsidRPr="00475C2F" w:rsidTr="00BB4474">
        <w:tc>
          <w:tcPr>
            <w:tcW w:w="4855" w:type="dxa"/>
            <w:gridSpan w:val="2"/>
          </w:tcPr>
          <w:p w:rsidR="00F07E5B" w:rsidRPr="00475C2F" w:rsidRDefault="00F07E5B" w:rsidP="00BB4474">
            <w:pPr>
              <w:widowControl w:val="0"/>
              <w:rPr>
                <w:b/>
                <w:sz w:val="24"/>
                <w:szCs w:val="24"/>
              </w:rPr>
            </w:pPr>
            <w:r w:rsidRPr="00475C2F">
              <w:rPr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F07E5B" w:rsidRPr="00475C2F" w:rsidRDefault="00F07E5B" w:rsidP="00BB4474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</w:tcPr>
          <w:p w:rsidR="00F07E5B" w:rsidRPr="00475C2F" w:rsidRDefault="00F07E5B" w:rsidP="00BB4474">
            <w:pPr>
              <w:widowControl w:val="0"/>
              <w:rPr>
                <w:b/>
                <w:sz w:val="24"/>
                <w:szCs w:val="24"/>
              </w:rPr>
            </w:pPr>
            <w:r w:rsidRPr="00475C2F">
              <w:rPr>
                <w:b/>
                <w:sz w:val="24"/>
                <w:szCs w:val="24"/>
              </w:rPr>
              <w:t>СОГЛАСОВАН:</w:t>
            </w:r>
          </w:p>
        </w:tc>
      </w:tr>
      <w:tr w:rsidR="00F07E5B" w:rsidRPr="00475C2F" w:rsidTr="00BB4474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rPr>
                <w:sz w:val="24"/>
                <w:szCs w:val="24"/>
              </w:rPr>
            </w:pPr>
            <w:r w:rsidRPr="00475C2F">
              <w:rPr>
                <w:sz w:val="24"/>
                <w:szCs w:val="24"/>
              </w:rPr>
              <w:t xml:space="preserve">Заведующий сектором по правовым и организационным вопросам </w:t>
            </w:r>
          </w:p>
          <w:p w:rsidR="00F07E5B" w:rsidRPr="00475C2F" w:rsidRDefault="00F07E5B" w:rsidP="00BB4474">
            <w:pPr>
              <w:widowControl w:val="0"/>
              <w:ind w:firstLine="709"/>
              <w:jc w:val="right"/>
              <w:rPr>
                <w:b/>
                <w:sz w:val="24"/>
                <w:szCs w:val="24"/>
              </w:rPr>
            </w:pPr>
            <w:r w:rsidRPr="00475C2F">
              <w:rPr>
                <w:b/>
                <w:sz w:val="24"/>
                <w:szCs w:val="24"/>
              </w:rPr>
              <w:t xml:space="preserve">А.Г. </w:t>
            </w:r>
            <w:proofErr w:type="spellStart"/>
            <w:r w:rsidRPr="00475C2F">
              <w:rPr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rPr>
                <w:sz w:val="24"/>
                <w:szCs w:val="24"/>
              </w:rPr>
            </w:pPr>
            <w:r w:rsidRPr="00475C2F">
              <w:rPr>
                <w:sz w:val="24"/>
                <w:szCs w:val="24"/>
              </w:rPr>
              <w:t>Глава муниципального округа Левобережный</w:t>
            </w:r>
          </w:p>
          <w:p w:rsidR="00F07E5B" w:rsidRPr="00475C2F" w:rsidRDefault="00F07E5B" w:rsidP="00BB4474">
            <w:pPr>
              <w:widowControl w:val="0"/>
              <w:ind w:firstLine="709"/>
              <w:jc w:val="right"/>
              <w:rPr>
                <w:b/>
                <w:sz w:val="24"/>
                <w:szCs w:val="24"/>
              </w:rPr>
            </w:pPr>
          </w:p>
          <w:p w:rsidR="00F07E5B" w:rsidRPr="00475C2F" w:rsidRDefault="00F07E5B" w:rsidP="00BB4474">
            <w:pPr>
              <w:widowControl w:val="0"/>
              <w:ind w:firstLine="709"/>
              <w:jc w:val="right"/>
              <w:rPr>
                <w:b/>
                <w:sz w:val="24"/>
                <w:szCs w:val="24"/>
              </w:rPr>
            </w:pPr>
            <w:r w:rsidRPr="00475C2F">
              <w:rPr>
                <w:b/>
                <w:sz w:val="24"/>
                <w:szCs w:val="24"/>
              </w:rPr>
              <w:t>Е.С.Степаненко</w:t>
            </w:r>
          </w:p>
        </w:tc>
      </w:tr>
      <w:tr w:rsidR="00F07E5B" w:rsidRPr="00475C2F" w:rsidTr="00BB4474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ind w:firstLine="709"/>
              <w:rPr>
                <w:sz w:val="24"/>
                <w:szCs w:val="24"/>
              </w:rPr>
            </w:pPr>
            <w:r w:rsidRPr="00475C2F">
              <w:rPr>
                <w:sz w:val="24"/>
                <w:szCs w:val="24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ind w:firstLine="709"/>
              <w:rPr>
                <w:sz w:val="24"/>
                <w:szCs w:val="24"/>
              </w:rPr>
            </w:pPr>
            <w:r w:rsidRPr="00475C2F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F07E5B" w:rsidRPr="00475C2F" w:rsidRDefault="00F07E5B" w:rsidP="00BB4474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F07E5B" w:rsidRPr="00475C2F" w:rsidRDefault="00F07E5B" w:rsidP="00BB4474">
            <w:pPr>
              <w:widowControl w:val="0"/>
              <w:ind w:firstLine="709"/>
              <w:jc w:val="center"/>
              <w:rPr>
                <w:i/>
                <w:sz w:val="24"/>
                <w:szCs w:val="24"/>
              </w:rPr>
            </w:pPr>
            <w:r w:rsidRPr="00475C2F">
              <w:rPr>
                <w:i/>
                <w:sz w:val="24"/>
                <w:szCs w:val="24"/>
              </w:rPr>
              <w:t>подпись</w:t>
            </w:r>
          </w:p>
        </w:tc>
      </w:tr>
    </w:tbl>
    <w:p w:rsidR="00F07E5B" w:rsidRPr="00340DD2" w:rsidRDefault="00F07E5B" w:rsidP="00F07E5B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635F51" w:rsidRPr="00CD2696" w:rsidRDefault="00635F51" w:rsidP="00635F51">
      <w:pPr>
        <w:ind w:firstLine="567"/>
        <w:jc w:val="both"/>
        <w:rPr>
          <w:sz w:val="24"/>
          <w:szCs w:val="24"/>
        </w:rPr>
      </w:pPr>
      <w:r w:rsidRPr="00CD2696">
        <w:rPr>
          <w:sz w:val="24"/>
          <w:szCs w:val="24"/>
        </w:rPr>
        <w:br w:type="page"/>
      </w:r>
    </w:p>
    <w:p w:rsidR="00635F51" w:rsidRPr="00CD2696" w:rsidRDefault="00635F51" w:rsidP="000F2A4B">
      <w:pPr>
        <w:ind w:left="5103"/>
        <w:rPr>
          <w:b/>
          <w:sz w:val="24"/>
          <w:szCs w:val="24"/>
        </w:rPr>
        <w:sectPr w:rsidR="00635F51" w:rsidRPr="00CD2696" w:rsidSect="000F2A4B">
          <w:headerReference w:type="even" r:id="rId6"/>
          <w:footnotePr>
            <w:numRestart w:val="eachPage"/>
          </w:footnotePr>
          <w:pgSz w:w="11906" w:h="16838"/>
          <w:pgMar w:top="1134" w:right="850" w:bottom="719" w:left="993" w:header="708" w:footer="708" w:gutter="0"/>
          <w:cols w:space="708"/>
          <w:titlePg/>
          <w:docGrid w:linePitch="360"/>
        </w:sectPr>
      </w:pPr>
    </w:p>
    <w:p w:rsidR="00A9701E" w:rsidRPr="00CD2696" w:rsidRDefault="000F2A4B" w:rsidP="000F2A4B">
      <w:pPr>
        <w:ind w:left="5103"/>
        <w:rPr>
          <w:sz w:val="24"/>
          <w:szCs w:val="24"/>
        </w:rPr>
      </w:pPr>
      <w:r w:rsidRPr="00CD2696">
        <w:rPr>
          <w:sz w:val="24"/>
          <w:szCs w:val="24"/>
        </w:rPr>
        <w:lastRenderedPageBreak/>
        <w:t>Приложение</w:t>
      </w:r>
    </w:p>
    <w:p w:rsidR="000F2A4B" w:rsidRPr="00CD2696" w:rsidRDefault="000F2A4B" w:rsidP="000F2A4B">
      <w:pPr>
        <w:ind w:left="5103"/>
        <w:jc w:val="both"/>
        <w:rPr>
          <w:sz w:val="24"/>
          <w:szCs w:val="24"/>
        </w:rPr>
      </w:pPr>
      <w:r w:rsidRPr="00CD2696">
        <w:rPr>
          <w:sz w:val="24"/>
          <w:szCs w:val="24"/>
        </w:rPr>
        <w:t xml:space="preserve">к решению Совета депутатов муниципального округа Левобережный </w:t>
      </w:r>
    </w:p>
    <w:p w:rsidR="000F2A4B" w:rsidRPr="00CD2696" w:rsidRDefault="000F2A4B" w:rsidP="00557BCC">
      <w:pPr>
        <w:ind w:left="5103"/>
        <w:jc w:val="both"/>
        <w:rPr>
          <w:sz w:val="24"/>
          <w:szCs w:val="24"/>
        </w:rPr>
      </w:pPr>
      <w:r w:rsidRPr="00CD2696">
        <w:rPr>
          <w:sz w:val="24"/>
          <w:szCs w:val="24"/>
        </w:rPr>
        <w:t xml:space="preserve">от </w:t>
      </w:r>
      <w:r w:rsidR="00DC2377">
        <w:rPr>
          <w:sz w:val="24"/>
          <w:szCs w:val="24"/>
        </w:rPr>
        <w:t>_____________</w:t>
      </w:r>
      <w:r w:rsidR="00557BCC" w:rsidRPr="00CD2696">
        <w:rPr>
          <w:sz w:val="24"/>
          <w:szCs w:val="24"/>
        </w:rPr>
        <w:t xml:space="preserve"> № </w:t>
      </w:r>
      <w:r w:rsidR="00DC2377">
        <w:rPr>
          <w:sz w:val="24"/>
          <w:szCs w:val="24"/>
        </w:rPr>
        <w:t>______</w:t>
      </w:r>
      <w:r w:rsidR="00557BCC" w:rsidRPr="00CD2696">
        <w:rPr>
          <w:sz w:val="24"/>
          <w:szCs w:val="24"/>
        </w:rPr>
        <w:t xml:space="preserve"> </w:t>
      </w:r>
    </w:p>
    <w:p w:rsidR="00557BCC" w:rsidRPr="00CD2696" w:rsidRDefault="00557BCC" w:rsidP="00557BCC">
      <w:pPr>
        <w:ind w:left="5103"/>
        <w:jc w:val="both"/>
        <w:rPr>
          <w:color w:val="FF0000"/>
          <w:sz w:val="24"/>
          <w:szCs w:val="24"/>
        </w:rPr>
      </w:pPr>
    </w:p>
    <w:p w:rsidR="000F2A4B" w:rsidRPr="00CD2696" w:rsidRDefault="000F2A4B" w:rsidP="000F2A4B">
      <w:pPr>
        <w:rPr>
          <w:sz w:val="24"/>
          <w:szCs w:val="24"/>
        </w:rPr>
      </w:pPr>
    </w:p>
    <w:p w:rsidR="00DC2377" w:rsidRPr="00DC2377" w:rsidRDefault="00DC2377" w:rsidP="00DC23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DC2377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DC2377" w:rsidRPr="00DC2377" w:rsidRDefault="00DC2377" w:rsidP="00DC23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DC2377">
        <w:rPr>
          <w:rFonts w:ascii="Times New Roman" w:hAnsi="Times New Roman"/>
          <w:sz w:val="24"/>
          <w:szCs w:val="24"/>
        </w:rPr>
        <w:t>по проекту решения</w:t>
      </w:r>
      <w:r w:rsidRPr="00DC237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C2377">
        <w:rPr>
          <w:rFonts w:ascii="Times New Roman" w:hAnsi="Times New Roman"/>
          <w:sz w:val="24"/>
          <w:szCs w:val="24"/>
        </w:rPr>
        <w:t>Совета депутатов муниципального округа Левобережный «Об исполнении бюджета муниципального округа Левобережный за 2015 год»</w:t>
      </w:r>
    </w:p>
    <w:p w:rsidR="00DC2377" w:rsidRPr="00DC2377" w:rsidRDefault="00DC2377" w:rsidP="00DC23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C2377" w:rsidRPr="00DC2377" w:rsidRDefault="00DC2377" w:rsidP="00DC2377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C2377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от 19 апреля 2016г. № 6-2 «О проекте решения «Об исполнении бюджета муниципального округа Левобережный за 2015 год»</w:t>
      </w:r>
    </w:p>
    <w:p w:rsidR="00DC2377" w:rsidRPr="00DC2377" w:rsidRDefault="00DC2377" w:rsidP="00DC237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377" w:rsidRPr="00DC2377" w:rsidRDefault="00DC2377" w:rsidP="00DC237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DC2377">
        <w:rPr>
          <w:rFonts w:ascii="Times New Roman" w:hAnsi="Times New Roman"/>
          <w:b/>
          <w:sz w:val="24"/>
          <w:szCs w:val="24"/>
        </w:rPr>
        <w:t>Дата проведения:</w:t>
      </w:r>
      <w:r w:rsidRPr="00DC2377">
        <w:rPr>
          <w:rFonts w:ascii="Times New Roman" w:hAnsi="Times New Roman"/>
          <w:sz w:val="24"/>
          <w:szCs w:val="24"/>
        </w:rPr>
        <w:t xml:space="preserve"> «23»  мая 2016 года</w:t>
      </w:r>
    </w:p>
    <w:p w:rsidR="00DC2377" w:rsidRPr="00DC2377" w:rsidRDefault="00DC2377" w:rsidP="00DC2377">
      <w:pPr>
        <w:jc w:val="both"/>
        <w:rPr>
          <w:sz w:val="24"/>
          <w:szCs w:val="24"/>
        </w:rPr>
      </w:pPr>
      <w:r w:rsidRPr="00DC2377">
        <w:rPr>
          <w:b/>
          <w:sz w:val="24"/>
          <w:szCs w:val="24"/>
        </w:rPr>
        <w:t>Количество участников</w:t>
      </w:r>
      <w:r w:rsidRPr="00DC2377">
        <w:rPr>
          <w:sz w:val="24"/>
          <w:szCs w:val="24"/>
        </w:rPr>
        <w:t>: 5</w:t>
      </w:r>
    </w:p>
    <w:p w:rsidR="00DC2377" w:rsidRPr="00DC2377" w:rsidRDefault="00DC2377" w:rsidP="00DC2377">
      <w:pPr>
        <w:rPr>
          <w:i/>
          <w:sz w:val="24"/>
          <w:szCs w:val="24"/>
        </w:rPr>
      </w:pPr>
      <w:r w:rsidRPr="00DC2377">
        <w:rPr>
          <w:b/>
          <w:i/>
          <w:sz w:val="24"/>
          <w:szCs w:val="24"/>
        </w:rPr>
        <w:t xml:space="preserve">Количество поступивших предложений жителей: </w:t>
      </w:r>
      <w:r w:rsidRPr="00DC2377">
        <w:rPr>
          <w:i/>
          <w:sz w:val="24"/>
          <w:szCs w:val="24"/>
        </w:rPr>
        <w:t>0</w:t>
      </w:r>
    </w:p>
    <w:p w:rsidR="00DC2377" w:rsidRPr="00DC2377" w:rsidRDefault="00DC2377" w:rsidP="00DC2377">
      <w:pPr>
        <w:pStyle w:val="a5"/>
        <w:ind w:firstLine="540"/>
        <w:jc w:val="left"/>
        <w:rPr>
          <w:b/>
          <w:sz w:val="24"/>
          <w:szCs w:val="24"/>
        </w:rPr>
      </w:pPr>
      <w:r w:rsidRPr="00DC2377">
        <w:rPr>
          <w:b/>
          <w:sz w:val="24"/>
          <w:szCs w:val="24"/>
        </w:rPr>
        <w:t>В результате обсуждения проекта решения</w:t>
      </w:r>
      <w:r w:rsidRPr="00DC2377">
        <w:rPr>
          <w:b/>
          <w:i/>
          <w:sz w:val="24"/>
          <w:szCs w:val="24"/>
        </w:rPr>
        <w:t xml:space="preserve"> </w:t>
      </w:r>
      <w:r w:rsidRPr="00DC2377">
        <w:rPr>
          <w:b/>
          <w:sz w:val="24"/>
          <w:szCs w:val="24"/>
        </w:rPr>
        <w:t xml:space="preserve">Совета депутатов «Об исполнении бюджета муниципального округа Левобережный за 2015 год» </w:t>
      </w:r>
    </w:p>
    <w:p w:rsidR="00DC2377" w:rsidRPr="00DC2377" w:rsidRDefault="00DC2377" w:rsidP="00DC2377">
      <w:pPr>
        <w:pStyle w:val="a5"/>
        <w:rPr>
          <w:sz w:val="24"/>
          <w:szCs w:val="24"/>
        </w:rPr>
      </w:pPr>
      <w:r w:rsidRPr="00DC2377">
        <w:rPr>
          <w:sz w:val="24"/>
          <w:szCs w:val="24"/>
        </w:rPr>
        <w:t>принято следующее решение:</w:t>
      </w:r>
    </w:p>
    <w:p w:rsidR="00DC2377" w:rsidRPr="00DC2377" w:rsidRDefault="00DC2377" w:rsidP="00DC2377">
      <w:pPr>
        <w:autoSpaceDE/>
        <w:autoSpaceDN/>
        <w:ind w:firstLine="540"/>
        <w:jc w:val="both"/>
        <w:rPr>
          <w:bCs/>
          <w:sz w:val="24"/>
          <w:szCs w:val="24"/>
        </w:rPr>
      </w:pPr>
      <w:r w:rsidRPr="00DC2377">
        <w:rPr>
          <w:bCs/>
          <w:sz w:val="24"/>
          <w:szCs w:val="24"/>
        </w:rPr>
        <w:t xml:space="preserve">1. Поддержать проект решения Совета депутатов муниципального округа Левобережный «Об исполнении бюджета муниципального округа Левобережный за 2015 год»  в целом. </w:t>
      </w:r>
    </w:p>
    <w:p w:rsidR="00DC2377" w:rsidRPr="00DC2377" w:rsidRDefault="00DC2377" w:rsidP="00DC2377">
      <w:pPr>
        <w:autoSpaceDE/>
        <w:autoSpaceDN/>
        <w:ind w:firstLine="540"/>
        <w:jc w:val="both"/>
        <w:rPr>
          <w:bCs/>
          <w:sz w:val="24"/>
          <w:szCs w:val="24"/>
        </w:rPr>
      </w:pPr>
      <w:r w:rsidRPr="00DC2377">
        <w:rPr>
          <w:bCs/>
          <w:sz w:val="24"/>
          <w:szCs w:val="24"/>
        </w:rPr>
        <w:t>2. Направить результаты публичных слушаний и протокол публичных слушаний Совету депутатов муниципального округа Левобережный.</w:t>
      </w:r>
    </w:p>
    <w:p w:rsidR="000F2A4B" w:rsidRPr="00DC2377" w:rsidRDefault="00DC2377" w:rsidP="00DC2377">
      <w:pPr>
        <w:ind w:firstLine="540"/>
        <w:jc w:val="both"/>
        <w:rPr>
          <w:sz w:val="24"/>
          <w:szCs w:val="24"/>
        </w:rPr>
      </w:pPr>
      <w:r w:rsidRPr="00DC2377">
        <w:rPr>
          <w:bCs/>
          <w:sz w:val="24"/>
          <w:szCs w:val="24"/>
        </w:rPr>
        <w:t>3. Рекомендовать Совету депутатов муниципального округа Левобережный опубликовать результаты публичных слушаний в официальном средстве массовой информации муниципального округа Левобережный.</w:t>
      </w:r>
    </w:p>
    <w:p w:rsidR="000F2A4B" w:rsidRPr="00CD2696" w:rsidRDefault="000F2A4B" w:rsidP="000F2A4B">
      <w:pPr>
        <w:rPr>
          <w:sz w:val="24"/>
          <w:szCs w:val="24"/>
        </w:rPr>
      </w:pPr>
    </w:p>
    <w:p w:rsidR="004871AB" w:rsidRPr="00CD2696" w:rsidRDefault="004871AB" w:rsidP="000F2A4B">
      <w:pPr>
        <w:rPr>
          <w:sz w:val="24"/>
          <w:szCs w:val="24"/>
        </w:rPr>
      </w:pPr>
    </w:p>
    <w:sectPr w:rsidR="004871AB" w:rsidRPr="00CD2696" w:rsidSect="000F2A4B">
      <w:footnotePr>
        <w:numRestart w:val="eachPage"/>
      </w:footnotePr>
      <w:pgSz w:w="11906" w:h="16838"/>
      <w:pgMar w:top="1134" w:right="850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0B" w:rsidRDefault="003E3E0B">
      <w:r>
        <w:separator/>
      </w:r>
    </w:p>
  </w:endnote>
  <w:endnote w:type="continuationSeparator" w:id="0">
    <w:p w:rsidR="003E3E0B" w:rsidRDefault="003E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0B" w:rsidRDefault="003E3E0B">
      <w:r>
        <w:separator/>
      </w:r>
    </w:p>
  </w:footnote>
  <w:footnote w:type="continuationSeparator" w:id="0">
    <w:p w:rsidR="003E3E0B" w:rsidRDefault="003E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AA" w:rsidRDefault="00827E93" w:rsidP="001749A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2F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2FAA" w:rsidRDefault="005A2F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7BBF"/>
    <w:rsid w:val="00022B85"/>
    <w:rsid w:val="000252C1"/>
    <w:rsid w:val="00031B61"/>
    <w:rsid w:val="0005118B"/>
    <w:rsid w:val="0007345E"/>
    <w:rsid w:val="000753D6"/>
    <w:rsid w:val="00075704"/>
    <w:rsid w:val="00075CF6"/>
    <w:rsid w:val="000863A2"/>
    <w:rsid w:val="00091A37"/>
    <w:rsid w:val="00092758"/>
    <w:rsid w:val="00094FF7"/>
    <w:rsid w:val="000B0CC5"/>
    <w:rsid w:val="000B3E0F"/>
    <w:rsid w:val="000B4F10"/>
    <w:rsid w:val="000D158B"/>
    <w:rsid w:val="000F2A4B"/>
    <w:rsid w:val="000F58B6"/>
    <w:rsid w:val="00105778"/>
    <w:rsid w:val="001142FB"/>
    <w:rsid w:val="00125958"/>
    <w:rsid w:val="00127FF5"/>
    <w:rsid w:val="00136BAD"/>
    <w:rsid w:val="00142FC1"/>
    <w:rsid w:val="001471D5"/>
    <w:rsid w:val="0016697E"/>
    <w:rsid w:val="001749A1"/>
    <w:rsid w:val="00184307"/>
    <w:rsid w:val="001853EB"/>
    <w:rsid w:val="001945C8"/>
    <w:rsid w:val="001A04B7"/>
    <w:rsid w:val="001B49B3"/>
    <w:rsid w:val="001B61DF"/>
    <w:rsid w:val="001C0ABD"/>
    <w:rsid w:val="001C5800"/>
    <w:rsid w:val="001C6887"/>
    <w:rsid w:val="001E1D15"/>
    <w:rsid w:val="001E3F80"/>
    <w:rsid w:val="001E4932"/>
    <w:rsid w:val="00211023"/>
    <w:rsid w:val="00217AB8"/>
    <w:rsid w:val="00224C36"/>
    <w:rsid w:val="00230D90"/>
    <w:rsid w:val="0023193F"/>
    <w:rsid w:val="00235558"/>
    <w:rsid w:val="00240EC7"/>
    <w:rsid w:val="002514B3"/>
    <w:rsid w:val="002566D9"/>
    <w:rsid w:val="00283190"/>
    <w:rsid w:val="00285B9C"/>
    <w:rsid w:val="00293827"/>
    <w:rsid w:val="002A1F4D"/>
    <w:rsid w:val="002A5184"/>
    <w:rsid w:val="002B263D"/>
    <w:rsid w:val="002C1161"/>
    <w:rsid w:val="002C3909"/>
    <w:rsid w:val="002D12F0"/>
    <w:rsid w:val="002D2C53"/>
    <w:rsid w:val="002D7CBB"/>
    <w:rsid w:val="002F1013"/>
    <w:rsid w:val="002F69B6"/>
    <w:rsid w:val="00313A40"/>
    <w:rsid w:val="0031474E"/>
    <w:rsid w:val="00317723"/>
    <w:rsid w:val="00325FB2"/>
    <w:rsid w:val="00327204"/>
    <w:rsid w:val="00343FBA"/>
    <w:rsid w:val="00355A33"/>
    <w:rsid w:val="00356513"/>
    <w:rsid w:val="00360B3E"/>
    <w:rsid w:val="00367F33"/>
    <w:rsid w:val="00367F8C"/>
    <w:rsid w:val="00381F53"/>
    <w:rsid w:val="00390C91"/>
    <w:rsid w:val="00396F70"/>
    <w:rsid w:val="003B272A"/>
    <w:rsid w:val="003C4B14"/>
    <w:rsid w:val="003D50CE"/>
    <w:rsid w:val="003E3D92"/>
    <w:rsid w:val="003E3E0B"/>
    <w:rsid w:val="003E542A"/>
    <w:rsid w:val="003E5512"/>
    <w:rsid w:val="003E7DB4"/>
    <w:rsid w:val="003F36DF"/>
    <w:rsid w:val="003F50C5"/>
    <w:rsid w:val="003F52AC"/>
    <w:rsid w:val="00402808"/>
    <w:rsid w:val="004143C5"/>
    <w:rsid w:val="00417D3B"/>
    <w:rsid w:val="004260F7"/>
    <w:rsid w:val="00427016"/>
    <w:rsid w:val="00434622"/>
    <w:rsid w:val="004438A6"/>
    <w:rsid w:val="00456A21"/>
    <w:rsid w:val="0046454D"/>
    <w:rsid w:val="00473609"/>
    <w:rsid w:val="0048526D"/>
    <w:rsid w:val="004852D1"/>
    <w:rsid w:val="004871AB"/>
    <w:rsid w:val="00490733"/>
    <w:rsid w:val="004920BD"/>
    <w:rsid w:val="00494903"/>
    <w:rsid w:val="004A723A"/>
    <w:rsid w:val="004B07A8"/>
    <w:rsid w:val="004C0921"/>
    <w:rsid w:val="004C423A"/>
    <w:rsid w:val="004C42DD"/>
    <w:rsid w:val="004D1A7E"/>
    <w:rsid w:val="004E06BF"/>
    <w:rsid w:val="004F05A5"/>
    <w:rsid w:val="004F168E"/>
    <w:rsid w:val="004F17EA"/>
    <w:rsid w:val="0051034B"/>
    <w:rsid w:val="00511D5D"/>
    <w:rsid w:val="00533C38"/>
    <w:rsid w:val="00535AE7"/>
    <w:rsid w:val="005402EF"/>
    <w:rsid w:val="00544802"/>
    <w:rsid w:val="00557BCC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2FAA"/>
    <w:rsid w:val="005A4F33"/>
    <w:rsid w:val="005A6F52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605999"/>
    <w:rsid w:val="00613C5D"/>
    <w:rsid w:val="00617FD3"/>
    <w:rsid w:val="0062189E"/>
    <w:rsid w:val="006308FE"/>
    <w:rsid w:val="00635F51"/>
    <w:rsid w:val="00642416"/>
    <w:rsid w:val="006617B5"/>
    <w:rsid w:val="006625DD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4975"/>
    <w:rsid w:val="007049B5"/>
    <w:rsid w:val="0071317A"/>
    <w:rsid w:val="0072654A"/>
    <w:rsid w:val="00735478"/>
    <w:rsid w:val="007373C6"/>
    <w:rsid w:val="00751FC7"/>
    <w:rsid w:val="00760BBE"/>
    <w:rsid w:val="007659DC"/>
    <w:rsid w:val="0077011A"/>
    <w:rsid w:val="00770B2C"/>
    <w:rsid w:val="007728F4"/>
    <w:rsid w:val="00792D00"/>
    <w:rsid w:val="00794B01"/>
    <w:rsid w:val="007A27BD"/>
    <w:rsid w:val="007B07E1"/>
    <w:rsid w:val="007B27E0"/>
    <w:rsid w:val="007B3500"/>
    <w:rsid w:val="007B6C63"/>
    <w:rsid w:val="007B78DE"/>
    <w:rsid w:val="007C42BC"/>
    <w:rsid w:val="007C657C"/>
    <w:rsid w:val="007F5C30"/>
    <w:rsid w:val="007F686D"/>
    <w:rsid w:val="00801D54"/>
    <w:rsid w:val="00802A98"/>
    <w:rsid w:val="00803B18"/>
    <w:rsid w:val="00804BB7"/>
    <w:rsid w:val="00806C45"/>
    <w:rsid w:val="00810052"/>
    <w:rsid w:val="00820F20"/>
    <w:rsid w:val="008222DF"/>
    <w:rsid w:val="00827E93"/>
    <w:rsid w:val="008317EE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B7B11"/>
    <w:rsid w:val="008D06BD"/>
    <w:rsid w:val="008D13CB"/>
    <w:rsid w:val="008E769C"/>
    <w:rsid w:val="00901458"/>
    <w:rsid w:val="0090598B"/>
    <w:rsid w:val="00913CF4"/>
    <w:rsid w:val="00914226"/>
    <w:rsid w:val="00916F7F"/>
    <w:rsid w:val="009222EE"/>
    <w:rsid w:val="00923FF3"/>
    <w:rsid w:val="00925596"/>
    <w:rsid w:val="00935AEE"/>
    <w:rsid w:val="009370FC"/>
    <w:rsid w:val="009378B6"/>
    <w:rsid w:val="009455C9"/>
    <w:rsid w:val="00947539"/>
    <w:rsid w:val="00960AFA"/>
    <w:rsid w:val="009731E7"/>
    <w:rsid w:val="00975F77"/>
    <w:rsid w:val="009A3105"/>
    <w:rsid w:val="009B70E6"/>
    <w:rsid w:val="009E2076"/>
    <w:rsid w:val="009F4808"/>
    <w:rsid w:val="009F6409"/>
    <w:rsid w:val="009F7633"/>
    <w:rsid w:val="00A0174E"/>
    <w:rsid w:val="00A02CE0"/>
    <w:rsid w:val="00A05AB7"/>
    <w:rsid w:val="00A108D3"/>
    <w:rsid w:val="00A132EA"/>
    <w:rsid w:val="00A13691"/>
    <w:rsid w:val="00A1516E"/>
    <w:rsid w:val="00A21DA3"/>
    <w:rsid w:val="00A22236"/>
    <w:rsid w:val="00A23BCF"/>
    <w:rsid w:val="00A24A24"/>
    <w:rsid w:val="00A32C9F"/>
    <w:rsid w:val="00A337D1"/>
    <w:rsid w:val="00A44F54"/>
    <w:rsid w:val="00A50940"/>
    <w:rsid w:val="00A57C61"/>
    <w:rsid w:val="00A60507"/>
    <w:rsid w:val="00A64E77"/>
    <w:rsid w:val="00A65369"/>
    <w:rsid w:val="00A73ED4"/>
    <w:rsid w:val="00A8315B"/>
    <w:rsid w:val="00A84635"/>
    <w:rsid w:val="00A93D00"/>
    <w:rsid w:val="00A9701E"/>
    <w:rsid w:val="00AA25A7"/>
    <w:rsid w:val="00AA5CE0"/>
    <w:rsid w:val="00AB0D63"/>
    <w:rsid w:val="00AB1298"/>
    <w:rsid w:val="00AB7298"/>
    <w:rsid w:val="00AC37F6"/>
    <w:rsid w:val="00AC537B"/>
    <w:rsid w:val="00AC56E1"/>
    <w:rsid w:val="00AC7921"/>
    <w:rsid w:val="00AC7B0F"/>
    <w:rsid w:val="00AD03DF"/>
    <w:rsid w:val="00AD69AC"/>
    <w:rsid w:val="00AE1031"/>
    <w:rsid w:val="00AE41DC"/>
    <w:rsid w:val="00AE64D2"/>
    <w:rsid w:val="00AF1666"/>
    <w:rsid w:val="00AF1BAB"/>
    <w:rsid w:val="00AF33D1"/>
    <w:rsid w:val="00B00590"/>
    <w:rsid w:val="00B10127"/>
    <w:rsid w:val="00B16D27"/>
    <w:rsid w:val="00B177A4"/>
    <w:rsid w:val="00B2231E"/>
    <w:rsid w:val="00B3003E"/>
    <w:rsid w:val="00B42F1A"/>
    <w:rsid w:val="00B47B6A"/>
    <w:rsid w:val="00B551B6"/>
    <w:rsid w:val="00B67080"/>
    <w:rsid w:val="00B7105D"/>
    <w:rsid w:val="00B83D66"/>
    <w:rsid w:val="00B9687B"/>
    <w:rsid w:val="00BB4878"/>
    <w:rsid w:val="00BB568B"/>
    <w:rsid w:val="00BB753F"/>
    <w:rsid w:val="00BC6467"/>
    <w:rsid w:val="00BF0880"/>
    <w:rsid w:val="00BF0BC8"/>
    <w:rsid w:val="00BF2930"/>
    <w:rsid w:val="00BF7508"/>
    <w:rsid w:val="00C047F9"/>
    <w:rsid w:val="00C0646F"/>
    <w:rsid w:val="00C06795"/>
    <w:rsid w:val="00C257F8"/>
    <w:rsid w:val="00C33429"/>
    <w:rsid w:val="00C42B1F"/>
    <w:rsid w:val="00C54DA6"/>
    <w:rsid w:val="00C566B0"/>
    <w:rsid w:val="00C61640"/>
    <w:rsid w:val="00C622CC"/>
    <w:rsid w:val="00C67C60"/>
    <w:rsid w:val="00C726E6"/>
    <w:rsid w:val="00C75CAF"/>
    <w:rsid w:val="00C80BAD"/>
    <w:rsid w:val="00C81DE3"/>
    <w:rsid w:val="00C91BC5"/>
    <w:rsid w:val="00CA049F"/>
    <w:rsid w:val="00CA164B"/>
    <w:rsid w:val="00CA51E7"/>
    <w:rsid w:val="00CC5BF8"/>
    <w:rsid w:val="00CC7068"/>
    <w:rsid w:val="00CD0FF2"/>
    <w:rsid w:val="00CD2696"/>
    <w:rsid w:val="00CD6028"/>
    <w:rsid w:val="00CD65DD"/>
    <w:rsid w:val="00CE0147"/>
    <w:rsid w:val="00CE2EF9"/>
    <w:rsid w:val="00CE3EDA"/>
    <w:rsid w:val="00CF0C86"/>
    <w:rsid w:val="00CF4EB2"/>
    <w:rsid w:val="00D02F2A"/>
    <w:rsid w:val="00D076E5"/>
    <w:rsid w:val="00D10D7D"/>
    <w:rsid w:val="00D1277D"/>
    <w:rsid w:val="00D16D31"/>
    <w:rsid w:val="00D17EC3"/>
    <w:rsid w:val="00D415E8"/>
    <w:rsid w:val="00D44646"/>
    <w:rsid w:val="00D46DB5"/>
    <w:rsid w:val="00D53C3A"/>
    <w:rsid w:val="00D54EE2"/>
    <w:rsid w:val="00D56B42"/>
    <w:rsid w:val="00D72F64"/>
    <w:rsid w:val="00D948FD"/>
    <w:rsid w:val="00DB3697"/>
    <w:rsid w:val="00DB6633"/>
    <w:rsid w:val="00DB6749"/>
    <w:rsid w:val="00DC1A68"/>
    <w:rsid w:val="00DC1B75"/>
    <w:rsid w:val="00DC2377"/>
    <w:rsid w:val="00DC2BF7"/>
    <w:rsid w:val="00DC7941"/>
    <w:rsid w:val="00DD63AC"/>
    <w:rsid w:val="00DE1200"/>
    <w:rsid w:val="00DE70DB"/>
    <w:rsid w:val="00E00246"/>
    <w:rsid w:val="00E02F50"/>
    <w:rsid w:val="00E3495B"/>
    <w:rsid w:val="00E34B45"/>
    <w:rsid w:val="00E37306"/>
    <w:rsid w:val="00E447A1"/>
    <w:rsid w:val="00E44EAE"/>
    <w:rsid w:val="00E4762C"/>
    <w:rsid w:val="00E56415"/>
    <w:rsid w:val="00E61743"/>
    <w:rsid w:val="00E63EE3"/>
    <w:rsid w:val="00E65543"/>
    <w:rsid w:val="00E734BA"/>
    <w:rsid w:val="00E748B2"/>
    <w:rsid w:val="00E75038"/>
    <w:rsid w:val="00E97F4F"/>
    <w:rsid w:val="00EA1943"/>
    <w:rsid w:val="00EA3741"/>
    <w:rsid w:val="00EB0E4C"/>
    <w:rsid w:val="00EB1AB9"/>
    <w:rsid w:val="00EC4086"/>
    <w:rsid w:val="00EC4D45"/>
    <w:rsid w:val="00EC6564"/>
    <w:rsid w:val="00EC6BC8"/>
    <w:rsid w:val="00EC7005"/>
    <w:rsid w:val="00EE555E"/>
    <w:rsid w:val="00EF1075"/>
    <w:rsid w:val="00EF486B"/>
    <w:rsid w:val="00F057A8"/>
    <w:rsid w:val="00F0725C"/>
    <w:rsid w:val="00F072A8"/>
    <w:rsid w:val="00F07E5B"/>
    <w:rsid w:val="00F1035C"/>
    <w:rsid w:val="00F13422"/>
    <w:rsid w:val="00F13F6C"/>
    <w:rsid w:val="00F2669A"/>
    <w:rsid w:val="00F325E0"/>
    <w:rsid w:val="00F43C96"/>
    <w:rsid w:val="00F44693"/>
    <w:rsid w:val="00F46E2F"/>
    <w:rsid w:val="00F521FF"/>
    <w:rsid w:val="00F63B17"/>
    <w:rsid w:val="00F76273"/>
    <w:rsid w:val="00F85B13"/>
    <w:rsid w:val="00F90092"/>
    <w:rsid w:val="00F925DD"/>
    <w:rsid w:val="00FA2349"/>
    <w:rsid w:val="00FA24E1"/>
    <w:rsid w:val="00FB63D9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792D00"/>
    <w:rPr>
      <w:sz w:val="20"/>
      <w:szCs w:val="20"/>
    </w:rPr>
  </w:style>
  <w:style w:type="character" w:styleId="a4">
    <w:name w:val="footnote reference"/>
    <w:semiHidden/>
    <w:rsid w:val="00792D00"/>
    <w:rPr>
      <w:vertAlign w:val="superscript"/>
    </w:rPr>
  </w:style>
  <w:style w:type="paragraph" w:styleId="a5">
    <w:name w:val="Body Text"/>
    <w:basedOn w:val="a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6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rsid w:val="00A13691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794B01"/>
    <w:pPr>
      <w:spacing w:after="120"/>
      <w:ind w:left="283"/>
    </w:pPr>
  </w:style>
  <w:style w:type="paragraph" w:styleId="aa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b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B6749"/>
  </w:style>
  <w:style w:type="paragraph" w:styleId="ad">
    <w:name w:val="Plain Text"/>
    <w:basedOn w:val="a"/>
    <w:link w:val="ae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9370FC"/>
    <w:rPr>
      <w:rFonts w:ascii="Courier New" w:hAnsi="Courier New" w:cs="Courier New"/>
      <w:lang w:val="ru-RU" w:eastAsia="ru-RU" w:bidi="ar-SA"/>
    </w:rPr>
  </w:style>
  <w:style w:type="paragraph" w:customStyle="1" w:styleId="1CharChar">
    <w:name w:val="1 Знак Char Знак Char Знак"/>
    <w:basedOn w:val="a"/>
    <w:rsid w:val="004871A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alloon Text"/>
    <w:basedOn w:val="a"/>
    <w:semiHidden/>
    <w:rsid w:val="00091A3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F2A4B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0F2A4B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0">
    <w:name w:val="footer"/>
    <w:basedOn w:val="a"/>
    <w:link w:val="af1"/>
    <w:rsid w:val="00635F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35F51"/>
    <w:rPr>
      <w:sz w:val="28"/>
      <w:szCs w:val="28"/>
    </w:rPr>
  </w:style>
  <w:style w:type="paragraph" w:customStyle="1" w:styleId="31">
    <w:name w:val="Основной текст с отступом 31"/>
    <w:basedOn w:val="a"/>
    <w:rsid w:val="00CD2696"/>
    <w:pPr>
      <w:autoSpaceDE/>
      <w:autoSpaceDN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депутатов муниципального округа Левобережный «О внесении изменений в Устав муниципального округа Левобережный»</vt:lpstr>
    </vt:vector>
  </TitlesOfParts>
  <Company>MoBIL GROUP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депутатов муниципального округа Левобережный «О внесении изменений в Устав муниципального округа Левобережный»</dc:title>
  <dc:creator>Admin</dc:creator>
  <cp:lastModifiedBy>1</cp:lastModifiedBy>
  <cp:revision>6</cp:revision>
  <cp:lastPrinted>2015-06-25T13:23:00Z</cp:lastPrinted>
  <dcterms:created xsi:type="dcterms:W3CDTF">2015-06-25T12:08:00Z</dcterms:created>
  <dcterms:modified xsi:type="dcterms:W3CDTF">2016-05-26T09:27:00Z</dcterms:modified>
</cp:coreProperties>
</file>